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9A" w:rsidRDefault="00A0309A" w:rsidP="00D062E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309A">
        <w:rPr>
          <w:rFonts w:ascii="Times New Roman" w:hAnsi="Times New Roman" w:cs="Times New Roman"/>
          <w:b/>
          <w:sz w:val="32"/>
          <w:szCs w:val="32"/>
        </w:rPr>
        <w:t xml:space="preserve">Математика- аннотация к рабочим программам </w:t>
      </w:r>
    </w:p>
    <w:p w:rsidR="00A0309A" w:rsidRDefault="00A0309A" w:rsidP="00D06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(11 – 12</w:t>
      </w:r>
      <w:r w:rsidRPr="00A0309A">
        <w:rPr>
          <w:rFonts w:ascii="Times New Roman" w:hAnsi="Times New Roman" w:cs="Times New Roman"/>
          <w:b/>
          <w:sz w:val="32"/>
          <w:szCs w:val="32"/>
        </w:rPr>
        <w:t xml:space="preserve"> классы)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</w:t>
      </w:r>
      <w:r>
        <w:rPr>
          <w:rFonts w:ascii="Times New Roman" w:hAnsi="Times New Roman" w:cs="Times New Roman"/>
          <w:sz w:val="28"/>
          <w:szCs w:val="28"/>
        </w:rPr>
        <w:t xml:space="preserve">адаптированной </w:t>
      </w:r>
      <w:r w:rsidRPr="00A0309A">
        <w:rPr>
          <w:rFonts w:ascii="Times New Roman" w:hAnsi="Times New Roman" w:cs="Times New Roman"/>
          <w:sz w:val="28"/>
          <w:szCs w:val="28"/>
        </w:rPr>
        <w:t>основной образовательной программы с</w:t>
      </w:r>
      <w:r>
        <w:rPr>
          <w:rFonts w:ascii="Times New Roman" w:hAnsi="Times New Roman" w:cs="Times New Roman"/>
          <w:sz w:val="28"/>
          <w:szCs w:val="28"/>
        </w:rPr>
        <w:t>реднего общего образования (АООП</w:t>
      </w:r>
      <w:r w:rsidRPr="00A0309A">
        <w:rPr>
          <w:rFonts w:ascii="Times New Roman" w:hAnsi="Times New Roman" w:cs="Times New Roman"/>
          <w:sz w:val="28"/>
          <w:szCs w:val="28"/>
        </w:rPr>
        <w:t xml:space="preserve"> СОО), УЧЕБНО-МЕТОДИЧЕСКИЙ КОМПЛЕКС (УМК)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С. М. Никольский, М. К. Потапов, Н. Н. Решетников и др. Математика: алгебра и начала математического анализа, геометрия. Алгебра и начала математического анализа. 10 и 11 класс (базовый и углублённый уровни), М, Просвещение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Атанасян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Л.С., Бутузов В.Ф., Кадомцев С.Б. и др. Математика: алгебра и начала математического анализа, геометрия. Геометрия (базовый и углубленный уровень). 10-11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. - М.: Просвещение 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УЧЕБНЫЙ ПЛАН (КОЛИЧЕСТВО ЧАСОВ)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11</w:t>
      </w:r>
      <w:r w:rsidRPr="00A0309A">
        <w:rPr>
          <w:rFonts w:ascii="Times New Roman" w:hAnsi="Times New Roman" w:cs="Times New Roman"/>
          <w:sz w:val="28"/>
          <w:szCs w:val="28"/>
        </w:rPr>
        <w:t xml:space="preserve"> класс: 5 часов в неделю, 170 часов за год при параллельном изучении двух содержательных линий отдельными систематическими курсами (содержательная линия "Алгебра и начала анализа" предусматривает 3 ч в неделю, 102 часа за год, содержательная линия "Геометрия" предусматривает 2 ч в неделю, 68 часов за год)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A0309A">
        <w:rPr>
          <w:rFonts w:ascii="Times New Roman" w:hAnsi="Times New Roman" w:cs="Times New Roman"/>
          <w:sz w:val="28"/>
          <w:szCs w:val="28"/>
        </w:rPr>
        <w:t xml:space="preserve"> класс: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5 часов в неделю, 170 часов за год при параллельном изучении двух содержательных линий отдельными систематическими курсами (содержательная линия "Алгебра и начала анализа" предусматривает 3 ч в неделю, 102 часа за год, содержательная линия "Геометрия" предусматривает 2 ч в неделю, 68 часов за год) 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 Программа обеспечивает достижение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определённых результатов. 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Личностными результатами освоения учащимися основной школьной программы по математике являются: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науки; критичность мышления, умение распознавать логически некорректные высказывания, отличать гипотезу от факта;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 xml:space="preserve">готовность и способность вести диалог с другими людьми, достигать в нём взаимопонимания, находить общие цели и сотрудничать для их достижения; </w:t>
      </w: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 </w:t>
      </w:r>
      <w:proofErr w:type="gramEnd"/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эстетическое отношение к миру, включая эстетику быта, научного и технического творчества;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 xml:space="preserve">осознанный выбор будущей профессии и возможностей реализации собственных жизненных планов; отношение к профессиональной </w:t>
      </w:r>
      <w:r w:rsidRPr="00A0309A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как возможности участия в решении личных, общественных, государственных, общенациональных проблем. </w:t>
      </w:r>
      <w:proofErr w:type="gramEnd"/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Выпускник научится: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самостоятельно определять цели, задавать параметры и критерии, по которым можно определить, что цель достигнута;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организовывать эффективный поиск ресурсов, необходимых для достижения поставленной цели;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сопоставлять полученный результат деятельности с поставленной заранее целью.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 владеть навыками познавательной,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учебноисследовательской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и проектной деятельности; применять различные методы познания;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использовать средства информационных и коммуникационных технологий для решения различных задач с соблюдением требований техники безопасности, гигиены, правовых и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эстетическх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норм, норм информационной безопасности;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критически оценивать и интерпретировать информацию с разных позиций, распознавать и фиксировать противоречия в информационных источниках;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использовать различные модельно-схематические средства для представления существенных связей и отношений;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0309A" w:rsidRDefault="00A0309A" w:rsidP="00D062EB">
      <w:pPr>
        <w:spacing w:after="0" w:line="240" w:lineRule="auto"/>
        <w:ind w:left="36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выстраивать индивидуальную образовательную траекторию, учитывая ограничения со стороны других участников, ресурсные ограничения и ограничения, связанные с возможностями здоровья;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менять и удерживать разные позиции в познавательной деятельности.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осуществлять деловую коммуникацию как со сверстниками, так и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lastRenderedPageBreak/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координировать и выполнять работу в условиях реального, виртуального и комбинированного взаимодействия;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развернуто, логично и точно излагать свою точку зрения с использованием адекватных (устных и письменных) языковых средств; </w:t>
      </w:r>
    </w:p>
    <w:p w:rsidR="00D062EB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распознавать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конфликтогенные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 </w:t>
      </w:r>
    </w:p>
    <w:p w:rsidR="00D062EB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>Предметными результатами ос</w:t>
      </w:r>
      <w:r w:rsidR="00D062EB">
        <w:rPr>
          <w:rFonts w:ascii="Times New Roman" w:hAnsi="Times New Roman" w:cs="Times New Roman"/>
          <w:sz w:val="28"/>
          <w:szCs w:val="28"/>
        </w:rPr>
        <w:t>воения учащимися основной школы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программы по математике (базовый уровень) являются: </w:t>
      </w:r>
    </w:p>
    <w:p w:rsidR="00A0309A" w:rsidRDefault="00A0309A" w:rsidP="00D062E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представлений о математических понятиях как о важнейших математических моделях, позволяющих описывать и изучать разные процессы и явления;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понимание возможности аксиоматического построения математических теорий; владение методами доказательств и алгоритмов решения и умение их применять в ходе решения задач;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умение работать с математическим текстом (анализ, структурирование, извлечение необходимой информации), точно и грамотно выражать свои мысли, применяя математическую терминологию и символику, использовать различные языки математики (словесный, символический, графический);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построений, работы с моделями геометрических тел;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владение стандартными приёмами решения рациональных, показательных, логарифмических, тригонометрических уравнений и неравенств, их систем; владение приёмами равносильных преобразований уравнений и неравенств;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представлений об основных понятиях, идеях и методах математического анализа;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умение оперировать на базовом уровне понятиями: конечное множество, подмножество, принадлежность элемента множеству, объединение и пересечение множеств, числовые множества на координатной прямой, отрезок, интервал, полуинтервал; истинные и ложные утверждения, причина, следствие, частный случай общего утверждения,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; рациональное число, логарифм числа; степенная, показательная, логарифмическая и тригонометрическая функции, аркфункции; корень степени </w:t>
      </w:r>
      <w:proofErr w:type="spellStart"/>
      <w:proofErr w:type="gramStart"/>
      <w:r w:rsidRPr="00A0309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, степень с рациональным и иррациональным показателем;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 xml:space="preserve">частота и вероятность события, математическое ожидание, закон больших чисел; зависимость величин, функция, аргумент и значение функции, область определения и множество значений функции, график зависимости, график функции, нули </w:t>
      </w:r>
      <w:r w:rsidRPr="00A0309A">
        <w:rPr>
          <w:rFonts w:ascii="Times New Roman" w:hAnsi="Times New Roman" w:cs="Times New Roman"/>
          <w:sz w:val="28"/>
          <w:szCs w:val="28"/>
        </w:rPr>
        <w:lastRenderedPageBreak/>
        <w:t xml:space="preserve">функции, промежутки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знакопостоянства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 четная и нечетная функции;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 xml:space="preserve">производная функции в точке, касательная к графику функции, производная функции; экстремумы функции; первообразная, определённый интеграл, криволинейная трапеция; многогранники (тетраэдр, параллелепипед, пирамида, призма), тела вращения (цилиндр, конус, шар, сфера); объём тела; площадь поверхности тела; декартовы координаты в пространстве; вектор, координаты вектора, скалярное произведение векторов, коллинеарные векторы; </w:t>
      </w:r>
      <w:proofErr w:type="gramEnd"/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владение навыками использования готовых компьютерных программ при решении задач. </w:t>
      </w:r>
    </w:p>
    <w:p w:rsidR="00A0309A" w:rsidRDefault="00A0309A" w:rsidP="00D062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>ОСОБЕННОСТИ РЕАЛИЗАЦИИ ОБЩЕОБРАЗОВАТЬНОЙ ПРОГРАММЫ ПРИ ОБУЧЕНИИ СЛЕПЫХ И ОБУЧАЮЩИХСЯ С ОСТАТОЧНЫМ ЗРЕНИЕМ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Рабочая программа полностью сохраняет поставленные в общеобразовательной программе цели и задачи, а также основное содержание, но для обеспечения особых образовательных потребностей слепых и слабовидящих обучающихся имеет следующие особенности реализации. Эти особенности заключаются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0309A" w:rsidRPr="00A0309A" w:rsidRDefault="00A0309A" w:rsidP="00D062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постановке коррекционных задач: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осуществление коррекции и компенсации вторичных отклонений в развитии слепого и слабовидящего обучающегося через уточнение имеющихся и формирование новых представлений об окружающем мире; обучение оптимальным способам познания окружающего мира и общества;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развитие мыслительной деятельности, памяти и внимания;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обучение овладению умениями находить причинно-следственные связи, выделять главное, обобщать, делать выводы;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обучение навыкам действия в соответствии с алгоритмами, самостоятельного построения алгоритмов, использования невербальных способов общения;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коррекция и развитие связной устной речи, пополнение и обогащение пассивного и активного словарного запаса;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обучение построению умозаключений;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развитие фонематического слуха, орфографической зоркости, связной устной и письменной речи;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lastRenderedPageBreak/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развитие мелкой моторики, пространственных представлений, зрительно-моторной координации, умения ориентироваться в малом пространстве;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коррекция и развитие личностных качеств учащихся, эмоционально-волевой сферы (навыков самоконтроля, усидчивости и выдержки, умение выражать свои чувства);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2. методических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приёмах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, используемых на уроках: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изучение предмета с опорой на сохранные анализаторы учащихся;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использование специального дидактического материала;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при использовании классной доски (для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обучающихся) все записи учителем и учениками выполняются крупно и сопровождаются словесными комментариями;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сложные рисунки, таблицы и большие тексты предъявляются учащимся на карточках, выполненных с учетом требований к наглядным пособиям для слабовидящих детей;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ограниченность использования доски (для слепых обучающихся) компенсируется постоянным использованием раздаточного материала. Это карточки с рисунками, графиками, таблицами; текстами заданий для устных упражнений, для работы на уроке, для самостоятельных и контрольных работ, для индивидуальных домашних заданий; с памятками, справочными материалами. Кроме того используются готовые пособия, выполненные рельефно-точечным шрифтом, набор «Графика» для конструирования;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соблюдение определенной последовательности в предъявлении и изучении нового материала, учитывая фрагментарность восприятия объектов у детей с глубоким нарушением зрения;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отбор материала для урока и домашних заданий: уменьшение объёма аналогичных заданий и подбор разноплановых заданий;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подбор разнообразных сюжетов при решении текстовых задач, которые используются для формирования и уточнения представлений об окружающей действительности, коррекции зрительных образов, расширения кругозора учащихся, ограниченного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в следствие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нарушения зрения;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определение времени и порядка смены различных видов деятельности на уроке;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учет темпа учебной работы в зависимости от уровня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коррекционных умений и навыков учащихся;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чередование зрительной или тактильной работы учащихся со слуховым восприятием учебного материала;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индивидуальная помощь при ориентировке учащихся в учебнике;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обязательный учет источников и полноты предварительных представлений учащихся об изучаемых объектах, процессах и явлениях;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логически последовательное и аргументированное объяснение, основанное на доступном для учащихся сенсорном опыте; точное, образное и доходчивое изложение информации, создание необходимой основы для адекватных обобщений и выводов; </w:t>
      </w:r>
    </w:p>
    <w:p w:rsidR="00A0309A" w:rsidRDefault="00A0309A" w:rsidP="00D062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3. специальных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организации урока: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lastRenderedPageBreak/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соблюдение оптимальной зрительной или тактильной и слуховой нагрузки на уроках и при выполнении домашних заданий (уменьшенный объём заданий);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рассадка учащихся за партами в соответствии с характером нарушения зрения и слуха;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соблюдение требований к изготовлению раздаточных материалов и при использовании технических средств;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знание и учёт сенсорных возможностей обучающихся восприятия окружающей действительности; </w:t>
      </w:r>
    </w:p>
    <w:p w:rsidR="00A0309A" w:rsidRDefault="00A0309A" w:rsidP="00D062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применение технических средств обучения, расширяющих биологические возможности зрения, замещающих нарушенные функции и повышающих объем получения достоверной информации о предметах и явлениях окружающей действительности; </w:t>
      </w:r>
    </w:p>
    <w:p w:rsidR="00A0309A" w:rsidRPr="00A0309A" w:rsidRDefault="00A0309A" w:rsidP="00D062E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309A">
        <w:rPr>
          <w:rFonts w:ascii="Times New Roman" w:hAnsi="Times New Roman" w:cs="Times New Roman"/>
          <w:sz w:val="28"/>
          <w:szCs w:val="28"/>
        </w:rPr>
        <w:t>требованиях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к организации пространства: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Важным условием организации пространства, в котором обучаются слепые и слабовидящие обучающиеся, является безопасность и постоянство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предметнопространственной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среды, что предполагает: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– определенное предметное наполнение школьных помещений (свободные проходы к партам, входным дверям, отсутствие выступающих углов и другое);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– соблюдение необходимого светового режима (обеспечение беспрепятственного прохождения в школьные помещения естественного света; одновременное использование естественного и искусственного освещения; возможность использования дополнительного индивидуального источника света и другое);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>– оперативное устранение факторов, негативно влияющих на состояние не только зрительных функций учащихся (недостаточность уровня освещенности рабочей зоны, наличие бликов и другое), но и осязания, слуха; - определение местоположения парты в классе в соответствии с рекомендациями врача-офтальмолога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- использование оптических,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тифлотехнических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>, технических средств, в том числе и средств комфортного доступа к образованию (иллюстративно-графические пособия, отвечающие индивидуальным особым образовательным потребностям слепых и слабовидящих обучающихся).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При работе с графическими изображениями, иллюстрациями, макетами и натуральными объектами следует: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осуществлять правильный выбор предмета (объекта) наблюдения, демонстрации, иллюстрации;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обеспечивать рациональную насыщенность наглядных пособий натуральными объектами с учетом общих факторов: возраста (чем старше школьники, тем меньше должно быть натуральных объектов); содержания программного материала (в начале изучения программного материала обеспеченность занятий натуральными объектами должна быть выше по сравнению с уроками повторения и обобщения материала); специфических </w:t>
      </w:r>
      <w:r w:rsidRPr="00A0309A">
        <w:rPr>
          <w:rFonts w:ascii="Times New Roman" w:hAnsi="Times New Roman" w:cs="Times New Roman"/>
          <w:sz w:val="28"/>
          <w:szCs w:val="28"/>
        </w:rPr>
        <w:lastRenderedPageBreak/>
        <w:t xml:space="preserve">факторов (накопленного запаса зрительных и тактильных впечатлений, их полноты, адекватности, степени обобщенности образов и др.).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предъявлять объекты с соблюдением тифлопедагогических требований (соблюдать пропорции и пропорциональные отношения, фон, статичное положение, а для учащихся с остаточным зрением также - достаточную освещённость, возможность подойти на расстояние, удобное для восприятия и т.п.); при этом материал должен быть крупным, четким,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контурированным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; предъявляя рельефно-точечное изображение, рекомендуется дублировать его для детей с остаточным зрением плоскопечатным изображением с контурами черного цвета и достаточной толщиной линий;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комментировать восприятие (называть цвет, размер, положение в пространстве, форму, взаиморасположение объектов и т.п.), помогая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подетально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формировать учащимся целостный образ;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организовывать продуктивную для детей с нарушениями зрения последовательность восприятия наглядного материала: при знакомстве с объектом или предметом: от натурального объекта — к модели, от них к рисунку, схеме; при закреплении и повторении — от схемы, рисунка — к макету, модели и натуральному объекту.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обеспечить условия наблюдения за ходом работы: предоставить подробные словесные объяснения, необходимые натуральные объекты, модели, использовать специальные приемы (например, прием сопряженных действий, прием ладонного или двуручно</w:t>
      </w:r>
      <w:r>
        <w:rPr>
          <w:rFonts w:ascii="Times New Roman" w:hAnsi="Times New Roman" w:cs="Times New Roman"/>
          <w:sz w:val="28"/>
          <w:szCs w:val="28"/>
        </w:rPr>
        <w:t>го обследования объекта и др.).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При организации учебного процесса необходимо учитывать гигиенические требования: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реализовывать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офтальмо-гигиенических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рекомендации по соблюдению светового режима;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использовать приемы, направленные на снятие зрительного и тактильного напряжения;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рационально чередовать зрительную и тактильную нагрузку со слуховым восприятием учебного материала;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регулярно проводить зрительную и пальчиковую гимнастику не менее 1 раза в течение каждого урока;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обеспечить доступность учебной информации для непосредственного восприятия (с помощью остаточного зрения и (или) осязания);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для слабовидящих обучающихся и слепых обучающихся с остаточным зрением при изготовлении печатных пособий при необходимости учитывать остроту центрального зрения (так, предельно минимальные размеры объектов различения зависят от остроты центрального зрения и составляют: при остроте зрения 0,01 — 0,03— 15 мм; - при остроте зрения 0,04 — 0,08 — 5 мм; - при остроте зрения 0,09 — 0,2 — 3 мм), в других случаях использовать шрифт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Arial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 xml:space="preserve"> не менее 14, печать через 1,5 интервала;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при чтении, списывании, конспектировании, выполнении письменных заданий с цитированием следить за рациональным использованием рабочего пространства;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lastRenderedPageBreak/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оптимизировать качественное и количественное распределение заданий;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слепых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обучающихся с остаточным зрением использовать индивидуальные средства коррекции, подставку;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осуществлять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правильной п</w:t>
      </w:r>
      <w:r>
        <w:rPr>
          <w:rFonts w:ascii="Times New Roman" w:hAnsi="Times New Roman" w:cs="Times New Roman"/>
          <w:sz w:val="28"/>
          <w:szCs w:val="28"/>
        </w:rPr>
        <w:t>озой учащихся во время занятий.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>СОДЕРЖАНИЕ: Содержание учебного предмета за курс средней школы (распределение тем, увеличение или уменьшение количества часов на изучение тем в соответствии с особенностями контингента) соответствует адаптирова</w:t>
      </w:r>
      <w:r>
        <w:rPr>
          <w:rFonts w:ascii="Times New Roman" w:hAnsi="Times New Roman" w:cs="Times New Roman"/>
          <w:sz w:val="28"/>
          <w:szCs w:val="28"/>
        </w:rPr>
        <w:t xml:space="preserve">нной учебной программе.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0309A">
        <w:rPr>
          <w:rFonts w:ascii="Times New Roman" w:hAnsi="Times New Roman" w:cs="Times New Roman"/>
          <w:sz w:val="28"/>
          <w:szCs w:val="28"/>
        </w:rPr>
        <w:t xml:space="preserve"> класс: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Содержательная линия "Алгебра и начала анализа"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Це</w:t>
      </w:r>
      <w:r>
        <w:rPr>
          <w:rFonts w:ascii="Times New Roman" w:hAnsi="Times New Roman" w:cs="Times New Roman"/>
          <w:sz w:val="28"/>
          <w:szCs w:val="28"/>
        </w:rPr>
        <w:t xml:space="preserve">лые и действительные числа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Рациональны</w:t>
      </w:r>
      <w:r>
        <w:rPr>
          <w:rFonts w:ascii="Times New Roman" w:hAnsi="Times New Roman" w:cs="Times New Roman"/>
          <w:sz w:val="28"/>
          <w:szCs w:val="28"/>
        </w:rPr>
        <w:t xml:space="preserve">е уравнения и неравенства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Корень степени </w:t>
      </w:r>
      <w:proofErr w:type="spellStart"/>
      <w:r w:rsidRPr="00A0309A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A0309A">
        <w:rPr>
          <w:rFonts w:ascii="Times New Roman" w:hAnsi="Times New Roman" w:cs="Times New Roman"/>
          <w:sz w:val="28"/>
          <w:szCs w:val="28"/>
        </w:rPr>
        <w:t>. Сте</w:t>
      </w:r>
      <w:r>
        <w:rPr>
          <w:rFonts w:ascii="Times New Roman" w:hAnsi="Times New Roman" w:cs="Times New Roman"/>
          <w:sz w:val="28"/>
          <w:szCs w:val="28"/>
        </w:rPr>
        <w:t xml:space="preserve">пень положительного числа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Логарифмы. Простейшие показательные и логарифмические уравнения и нера</w:t>
      </w:r>
      <w:r>
        <w:rPr>
          <w:rFonts w:ascii="Times New Roman" w:hAnsi="Times New Roman" w:cs="Times New Roman"/>
          <w:sz w:val="28"/>
          <w:szCs w:val="28"/>
        </w:rPr>
        <w:t xml:space="preserve">венства методы их решения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Синус и косинус угла и числа. Тангенс и котангенс угла и числа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Формулы сложения. Тригонометрические функции числового аргумента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Тригонометрические уравнения и неравенства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Эл</w:t>
      </w:r>
      <w:r>
        <w:rPr>
          <w:rFonts w:ascii="Times New Roman" w:hAnsi="Times New Roman" w:cs="Times New Roman"/>
          <w:sz w:val="28"/>
          <w:szCs w:val="28"/>
        </w:rPr>
        <w:t xml:space="preserve">ементы теории вероятностей </w:t>
      </w:r>
    </w:p>
    <w:p w:rsid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Итоговое повторение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Содержательная линия "Геометрия"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="00D062EB">
        <w:rPr>
          <w:rFonts w:ascii="Times New Roman" w:hAnsi="Times New Roman" w:cs="Times New Roman"/>
          <w:sz w:val="28"/>
          <w:szCs w:val="28"/>
        </w:rPr>
        <w:t xml:space="preserve"> Вводный урок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Аксиомы с</w:t>
      </w:r>
      <w:r w:rsidR="00D062EB">
        <w:rPr>
          <w:rFonts w:ascii="Times New Roman" w:hAnsi="Times New Roman" w:cs="Times New Roman"/>
          <w:sz w:val="28"/>
          <w:szCs w:val="28"/>
        </w:rPr>
        <w:t xml:space="preserve">тереометрии и их следствия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Параллель</w:t>
      </w:r>
      <w:r w:rsidR="00D062EB">
        <w:rPr>
          <w:rFonts w:ascii="Times New Roman" w:hAnsi="Times New Roman" w:cs="Times New Roman"/>
          <w:sz w:val="28"/>
          <w:szCs w:val="28"/>
        </w:rPr>
        <w:t xml:space="preserve">ность прямых и плоскостей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Перпендикуля</w:t>
      </w:r>
      <w:r w:rsidR="00D062EB">
        <w:rPr>
          <w:rFonts w:ascii="Times New Roman" w:hAnsi="Times New Roman" w:cs="Times New Roman"/>
          <w:sz w:val="28"/>
          <w:szCs w:val="28"/>
        </w:rPr>
        <w:t xml:space="preserve">рность прямой и плоскости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="00D062EB">
        <w:rPr>
          <w:rFonts w:ascii="Times New Roman" w:hAnsi="Times New Roman" w:cs="Times New Roman"/>
          <w:sz w:val="28"/>
          <w:szCs w:val="28"/>
        </w:rPr>
        <w:t xml:space="preserve"> Многогранники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Итоговое повторение </w:t>
      </w:r>
    </w:p>
    <w:p w:rsidR="00D062EB" w:rsidRDefault="00D062EB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="00A0309A" w:rsidRPr="00A0309A">
        <w:rPr>
          <w:rFonts w:ascii="Times New Roman" w:hAnsi="Times New Roman" w:cs="Times New Roman"/>
          <w:sz w:val="28"/>
          <w:szCs w:val="28"/>
        </w:rPr>
        <w:t xml:space="preserve"> класс: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Содержательная линия "Алгебра и начала анализа"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Вводное повторение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Функции и их графики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Производная.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Применение производной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09A">
        <w:rPr>
          <w:rFonts w:ascii="Times New Roman" w:hAnsi="Times New Roman" w:cs="Times New Roman"/>
          <w:sz w:val="28"/>
          <w:szCs w:val="28"/>
        </w:rPr>
        <w:t>Первообразная</w:t>
      </w:r>
      <w:proofErr w:type="gramEnd"/>
      <w:r w:rsidRPr="00A0309A">
        <w:rPr>
          <w:rFonts w:ascii="Times New Roman" w:hAnsi="Times New Roman" w:cs="Times New Roman"/>
          <w:sz w:val="28"/>
          <w:szCs w:val="28"/>
        </w:rPr>
        <w:t xml:space="preserve"> и интеграл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Уравнения. Неравенства. Системы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Обобщающее повторение курса алгебры и начал анализа 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Содержательная линия "Геометрия"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Вводное повторение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Цилиндр. Конус. Шар.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Объёмы тел 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sym w:font="Symbol" w:char="F0B7"/>
      </w:r>
      <w:r w:rsidR="00D062EB">
        <w:rPr>
          <w:rFonts w:ascii="Times New Roman" w:hAnsi="Times New Roman" w:cs="Times New Roman"/>
          <w:sz w:val="28"/>
          <w:szCs w:val="28"/>
        </w:rPr>
        <w:t xml:space="preserve"> Векторы в пространстве</w:t>
      </w:r>
    </w:p>
    <w:p w:rsidR="00D062EB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Метол</w:t>
      </w:r>
      <w:r w:rsidR="00D062EB">
        <w:rPr>
          <w:rFonts w:ascii="Times New Roman" w:hAnsi="Times New Roman" w:cs="Times New Roman"/>
          <w:sz w:val="28"/>
          <w:szCs w:val="28"/>
        </w:rPr>
        <w:t xml:space="preserve"> координат в пространстве </w:t>
      </w:r>
    </w:p>
    <w:p w:rsidR="0072607F" w:rsidRPr="00A0309A" w:rsidRDefault="00A0309A" w:rsidP="00D062E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0309A">
        <w:rPr>
          <w:rFonts w:ascii="Times New Roman" w:hAnsi="Times New Roman" w:cs="Times New Roman"/>
          <w:sz w:val="28"/>
          <w:szCs w:val="28"/>
        </w:rPr>
        <w:t xml:space="preserve"> </w:t>
      </w:r>
      <w:r w:rsidRPr="00A0309A">
        <w:sym w:font="Symbol" w:char="F0B7"/>
      </w:r>
      <w:r w:rsidRPr="00A0309A">
        <w:rPr>
          <w:rFonts w:ascii="Times New Roman" w:hAnsi="Times New Roman" w:cs="Times New Roman"/>
          <w:sz w:val="28"/>
          <w:szCs w:val="28"/>
        </w:rPr>
        <w:t xml:space="preserve"> Заключительное повторение </w:t>
      </w:r>
    </w:p>
    <w:sectPr w:rsidR="0072607F" w:rsidRPr="00A0309A" w:rsidSect="00F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53F9F"/>
    <w:multiLevelType w:val="hybridMultilevel"/>
    <w:tmpl w:val="98A2F22A"/>
    <w:lvl w:ilvl="0" w:tplc="4DA642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AF5760"/>
    <w:multiLevelType w:val="hybridMultilevel"/>
    <w:tmpl w:val="E3CA4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A0309A"/>
    <w:rsid w:val="000B54DB"/>
    <w:rsid w:val="00A0309A"/>
    <w:rsid w:val="00B36160"/>
    <w:rsid w:val="00D062EB"/>
    <w:rsid w:val="00F7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2909</Words>
  <Characters>16586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20200314</dc:creator>
  <cp:lastModifiedBy>20200314</cp:lastModifiedBy>
  <cp:revision>1</cp:revision>
  <dcterms:created xsi:type="dcterms:W3CDTF">2021-01-08T07:58:00Z</dcterms:created>
  <dcterms:modified xsi:type="dcterms:W3CDTF">2021-01-08T08:14:00Z</dcterms:modified>
</cp:coreProperties>
</file>